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64" w:rsidRDefault="00622964">
      <w:bookmarkStart w:id="0" w:name="_GoBack"/>
      <w:bookmarkEnd w:id="0"/>
    </w:p>
    <w:tbl>
      <w:tblPr>
        <w:tblStyle w:val="TableGrid0"/>
        <w:tblW w:w="1002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104" w:type="dxa"/>
          <w:right w:w="90" w:type="dxa"/>
        </w:tblCellMar>
        <w:tblLook w:val="04A0"/>
      </w:tblPr>
      <w:tblGrid>
        <w:gridCol w:w="878"/>
        <w:gridCol w:w="2628"/>
        <w:gridCol w:w="6521"/>
      </w:tblGrid>
      <w:tr w:rsidR="00622964" w:rsidRPr="001200F7" w:rsidTr="00622964">
        <w:trPr>
          <w:trHeight w:val="426"/>
        </w:trPr>
        <w:tc>
          <w:tcPr>
            <w:tcW w:w="10027" w:type="dxa"/>
            <w:gridSpan w:val="3"/>
          </w:tcPr>
          <w:p w:rsidR="00622964" w:rsidRPr="001461F2" w:rsidRDefault="00622964" w:rsidP="00622964">
            <w:pPr>
              <w:spacing w:after="1"/>
              <w:ind w:left="16"/>
              <w:jc w:val="both"/>
              <w:rPr>
                <w:rFonts w:cstheme="minorHAnsi"/>
                <w:b/>
                <w:bCs/>
                <w:sz w:val="24"/>
                <w:szCs w:val="24"/>
              </w:rPr>
            </w:pPr>
            <w:r w:rsidRPr="001461F2">
              <w:rPr>
                <w:rFonts w:cstheme="minorHAnsi"/>
                <w:b/>
                <w:bCs/>
                <w:sz w:val="24"/>
                <w:szCs w:val="24"/>
              </w:rPr>
              <w:t>Norms for discharge of functions [Section 4(1)(b)(iv)]</w:t>
            </w:r>
          </w:p>
        </w:tc>
      </w:tr>
      <w:tr w:rsidR="00622964" w:rsidRPr="001200F7" w:rsidTr="00622964">
        <w:trPr>
          <w:trHeight w:val="426"/>
        </w:trPr>
        <w:tc>
          <w:tcPr>
            <w:tcW w:w="878" w:type="dxa"/>
          </w:tcPr>
          <w:p w:rsidR="00622964" w:rsidRPr="001200F7" w:rsidRDefault="00622964" w:rsidP="00622964">
            <w:pPr>
              <w:ind w:left="96"/>
              <w:rPr>
                <w:rFonts w:cstheme="minorHAnsi"/>
                <w:sz w:val="24"/>
                <w:szCs w:val="24"/>
              </w:rPr>
            </w:pPr>
            <w:r w:rsidRPr="001200F7">
              <w:rPr>
                <w:rFonts w:cstheme="minorHAnsi"/>
                <w:sz w:val="24"/>
                <w:szCs w:val="24"/>
              </w:rPr>
              <w:t>(</w:t>
            </w:r>
            <w:proofErr w:type="spellStart"/>
            <w:r w:rsidRPr="001200F7">
              <w:rPr>
                <w:rFonts w:cstheme="minorHAnsi"/>
                <w:sz w:val="24"/>
                <w:szCs w:val="24"/>
              </w:rPr>
              <w:t>i</w:t>
            </w:r>
            <w:proofErr w:type="spellEnd"/>
            <w:r w:rsidRPr="001200F7">
              <w:rPr>
                <w:rFonts w:cstheme="minorHAnsi"/>
                <w:sz w:val="24"/>
                <w:szCs w:val="24"/>
              </w:rPr>
              <w:t xml:space="preserve">) </w:t>
            </w:r>
          </w:p>
        </w:tc>
        <w:tc>
          <w:tcPr>
            <w:tcW w:w="2628" w:type="dxa"/>
          </w:tcPr>
          <w:p w:rsidR="00622964" w:rsidRPr="001200F7" w:rsidRDefault="00622964" w:rsidP="00622964">
            <w:pPr>
              <w:ind w:left="96"/>
              <w:rPr>
                <w:rFonts w:cstheme="minorHAnsi"/>
                <w:sz w:val="24"/>
                <w:szCs w:val="24"/>
              </w:rPr>
            </w:pPr>
            <w:r w:rsidRPr="001200F7">
              <w:rPr>
                <w:rFonts w:cstheme="minorHAnsi"/>
                <w:sz w:val="24"/>
                <w:szCs w:val="24"/>
              </w:rPr>
              <w:t>Nature of functions/ services offered</w:t>
            </w:r>
          </w:p>
        </w:tc>
        <w:tc>
          <w:tcPr>
            <w:tcW w:w="6521" w:type="dxa"/>
          </w:tcPr>
          <w:p w:rsidR="00AE085D" w:rsidRPr="00AE085D" w:rsidRDefault="00AE085D" w:rsidP="00AE085D">
            <w:pPr>
              <w:shd w:val="clear" w:color="auto" w:fill="FFFFFF"/>
              <w:textAlignment w:val="baseline"/>
              <w:rPr>
                <w:rFonts w:eastAsia="Times New Roman" w:cstheme="minorHAnsi"/>
                <w:b/>
                <w:bCs/>
                <w:color w:val="474747"/>
                <w:sz w:val="24"/>
                <w:szCs w:val="24"/>
              </w:rPr>
            </w:pPr>
            <w:r>
              <w:rPr>
                <w:rFonts w:eastAsia="Times New Roman" w:cstheme="minorHAnsi"/>
                <w:b/>
                <w:bCs/>
                <w:color w:val="474747"/>
                <w:sz w:val="24"/>
                <w:szCs w:val="24"/>
              </w:rPr>
              <w:t>Academic Programs offered at AcSIR:</w:t>
            </w:r>
          </w:p>
          <w:p w:rsidR="00AE085D" w:rsidRPr="00AE085D" w:rsidRDefault="00AE085D" w:rsidP="00AE085D">
            <w:pPr>
              <w:numPr>
                <w:ilvl w:val="0"/>
                <w:numId w:val="9"/>
              </w:numPr>
              <w:shd w:val="clear" w:color="auto" w:fill="FFFFFF"/>
              <w:ind w:left="450"/>
              <w:textAlignment w:val="baseline"/>
              <w:rPr>
                <w:rFonts w:eastAsia="Times New Roman" w:cstheme="minorHAnsi"/>
                <w:color w:val="474747"/>
                <w:sz w:val="24"/>
                <w:szCs w:val="24"/>
              </w:rPr>
            </w:pPr>
            <w:r w:rsidRPr="00AE085D">
              <w:rPr>
                <w:rFonts w:eastAsia="Times New Roman" w:cstheme="minorHAnsi"/>
                <w:color w:val="474747"/>
                <w:sz w:val="24"/>
                <w:szCs w:val="24"/>
                <w:bdr w:val="none" w:sz="0" w:space="0" w:color="auto" w:frame="1"/>
              </w:rPr>
              <w:t xml:space="preserve">Ph.D. (Sciences) </w:t>
            </w:r>
          </w:p>
          <w:p w:rsidR="00AE085D" w:rsidRPr="00AE085D" w:rsidRDefault="00AE085D" w:rsidP="00AE085D">
            <w:pPr>
              <w:numPr>
                <w:ilvl w:val="0"/>
                <w:numId w:val="9"/>
              </w:numPr>
              <w:shd w:val="clear" w:color="auto" w:fill="FFFFFF"/>
              <w:ind w:left="450"/>
              <w:textAlignment w:val="baseline"/>
              <w:rPr>
                <w:rFonts w:eastAsia="Times New Roman" w:cstheme="minorHAnsi"/>
                <w:color w:val="474747"/>
                <w:sz w:val="24"/>
                <w:szCs w:val="24"/>
              </w:rPr>
            </w:pPr>
            <w:r w:rsidRPr="00AE085D">
              <w:rPr>
                <w:rFonts w:eastAsia="Times New Roman" w:cstheme="minorHAnsi"/>
                <w:color w:val="474747"/>
                <w:sz w:val="24"/>
                <w:szCs w:val="24"/>
                <w:bdr w:val="none" w:sz="0" w:space="0" w:color="auto" w:frame="1"/>
              </w:rPr>
              <w:t xml:space="preserve">Ph.D. (Engineering) </w:t>
            </w:r>
          </w:p>
          <w:p w:rsidR="00AE085D" w:rsidRPr="00AE085D" w:rsidRDefault="00AE085D" w:rsidP="00AE085D">
            <w:pPr>
              <w:numPr>
                <w:ilvl w:val="0"/>
                <w:numId w:val="9"/>
              </w:numPr>
              <w:shd w:val="clear" w:color="auto" w:fill="FFFFFF"/>
              <w:ind w:left="450"/>
              <w:textAlignment w:val="baseline"/>
              <w:rPr>
                <w:rFonts w:eastAsia="Times New Roman" w:cstheme="minorHAnsi"/>
                <w:color w:val="474747"/>
                <w:sz w:val="24"/>
                <w:szCs w:val="24"/>
              </w:rPr>
            </w:pPr>
            <w:r w:rsidRPr="00AE085D">
              <w:rPr>
                <w:rFonts w:eastAsia="Times New Roman" w:cstheme="minorHAnsi"/>
                <w:color w:val="474747"/>
                <w:sz w:val="24"/>
                <w:szCs w:val="24"/>
                <w:bdr w:val="none" w:sz="0" w:space="0" w:color="auto" w:frame="1"/>
              </w:rPr>
              <w:t xml:space="preserve">Integrated Dual Degree Program (IDDP) </w:t>
            </w:r>
          </w:p>
          <w:p w:rsidR="00AE085D" w:rsidRPr="00FB75CB" w:rsidRDefault="00AE085D" w:rsidP="00AE085D">
            <w:pPr>
              <w:numPr>
                <w:ilvl w:val="0"/>
                <w:numId w:val="9"/>
              </w:numPr>
              <w:shd w:val="clear" w:color="auto" w:fill="FFFFFF"/>
              <w:ind w:left="450"/>
              <w:textAlignment w:val="baseline"/>
              <w:rPr>
                <w:rFonts w:eastAsia="Times New Roman" w:cstheme="minorHAnsi"/>
                <w:color w:val="474747"/>
                <w:sz w:val="24"/>
                <w:szCs w:val="24"/>
              </w:rPr>
            </w:pPr>
            <w:proofErr w:type="spellStart"/>
            <w:r w:rsidRPr="00AE085D">
              <w:rPr>
                <w:rFonts w:eastAsia="Times New Roman" w:cstheme="minorHAnsi"/>
                <w:color w:val="474747"/>
                <w:sz w:val="24"/>
                <w:szCs w:val="24"/>
                <w:bdr w:val="none" w:sz="0" w:space="0" w:color="auto" w:frame="1"/>
              </w:rPr>
              <w:t>M.Tech</w:t>
            </w:r>
            <w:proofErr w:type="spellEnd"/>
          </w:p>
          <w:p w:rsidR="00FB75CB" w:rsidRPr="00AE085D" w:rsidRDefault="00FB75CB" w:rsidP="00AE085D">
            <w:pPr>
              <w:numPr>
                <w:ilvl w:val="0"/>
                <w:numId w:val="9"/>
              </w:numPr>
              <w:shd w:val="clear" w:color="auto" w:fill="FFFFFF"/>
              <w:ind w:left="450"/>
              <w:textAlignment w:val="baseline"/>
              <w:rPr>
                <w:rFonts w:eastAsia="Times New Roman" w:cstheme="minorHAnsi"/>
                <w:color w:val="474747"/>
                <w:sz w:val="24"/>
                <w:szCs w:val="24"/>
              </w:rPr>
            </w:pPr>
            <w:r>
              <w:rPr>
                <w:rFonts w:eastAsia="Times New Roman" w:cstheme="minorHAnsi"/>
                <w:color w:val="474747"/>
                <w:sz w:val="24"/>
                <w:szCs w:val="24"/>
                <w:bdr w:val="none" w:sz="0" w:space="0" w:color="auto" w:frame="1"/>
              </w:rPr>
              <w:t>M.Sc</w:t>
            </w:r>
          </w:p>
          <w:p w:rsidR="00AE085D" w:rsidRPr="00AE085D" w:rsidRDefault="00E9640D" w:rsidP="00AE085D">
            <w:pPr>
              <w:numPr>
                <w:ilvl w:val="0"/>
                <w:numId w:val="9"/>
              </w:numPr>
              <w:shd w:val="clear" w:color="auto" w:fill="FFFFFF"/>
              <w:ind w:left="450"/>
              <w:textAlignment w:val="baseline"/>
              <w:rPr>
                <w:rFonts w:eastAsia="Times New Roman" w:cstheme="minorHAnsi"/>
                <w:color w:val="474747"/>
                <w:sz w:val="24"/>
                <w:szCs w:val="24"/>
              </w:rPr>
            </w:pPr>
            <w:r>
              <w:rPr>
                <w:rFonts w:eastAsia="Times New Roman" w:cstheme="minorHAnsi"/>
                <w:color w:val="474747"/>
                <w:sz w:val="24"/>
                <w:szCs w:val="24"/>
                <w:bdr w:val="none" w:sz="0" w:space="0" w:color="auto" w:frame="1"/>
              </w:rPr>
              <w:t>M.P.H</w:t>
            </w:r>
          </w:p>
          <w:p w:rsidR="00AE085D" w:rsidRPr="00AE085D" w:rsidRDefault="00AE085D" w:rsidP="00AE085D">
            <w:pPr>
              <w:numPr>
                <w:ilvl w:val="0"/>
                <w:numId w:val="9"/>
              </w:numPr>
              <w:shd w:val="clear" w:color="auto" w:fill="FFFFFF"/>
              <w:ind w:left="450"/>
              <w:textAlignment w:val="baseline"/>
              <w:rPr>
                <w:rStyle w:val="Strong"/>
                <w:rFonts w:eastAsia="Times New Roman" w:cstheme="minorHAnsi"/>
                <w:b w:val="0"/>
                <w:bCs w:val="0"/>
                <w:color w:val="474747"/>
                <w:sz w:val="24"/>
                <w:szCs w:val="24"/>
              </w:rPr>
            </w:pPr>
            <w:r w:rsidRPr="00AE085D">
              <w:rPr>
                <w:rStyle w:val="Strong"/>
                <w:rFonts w:cstheme="minorHAnsi"/>
                <w:b w:val="0"/>
                <w:bCs w:val="0"/>
                <w:color w:val="474747"/>
                <w:sz w:val="24"/>
                <w:szCs w:val="24"/>
                <w:bdr w:val="none" w:sz="0" w:space="0" w:color="auto" w:frame="1"/>
                <w:shd w:val="clear" w:color="auto" w:fill="FFFFFF"/>
              </w:rPr>
              <w:t>Integrated M.Sc.-</w:t>
            </w:r>
            <w:proofErr w:type="spellStart"/>
            <w:r w:rsidRPr="00AE085D">
              <w:rPr>
                <w:rStyle w:val="Strong"/>
                <w:rFonts w:cstheme="minorHAnsi"/>
                <w:b w:val="0"/>
                <w:bCs w:val="0"/>
                <w:color w:val="474747"/>
                <w:sz w:val="24"/>
                <w:szCs w:val="24"/>
                <w:bdr w:val="none" w:sz="0" w:space="0" w:color="auto" w:frame="1"/>
                <w:shd w:val="clear" w:color="auto" w:fill="FFFFFF"/>
              </w:rPr>
              <w:t>Ph.D</w:t>
            </w:r>
            <w:proofErr w:type="spellEnd"/>
          </w:p>
          <w:p w:rsidR="00AE085D" w:rsidRPr="00AE085D" w:rsidRDefault="00AE085D" w:rsidP="00AE085D">
            <w:pPr>
              <w:numPr>
                <w:ilvl w:val="0"/>
                <w:numId w:val="9"/>
              </w:numPr>
              <w:shd w:val="clear" w:color="auto" w:fill="FFFFFF"/>
              <w:ind w:left="450"/>
              <w:textAlignment w:val="baseline"/>
              <w:rPr>
                <w:rStyle w:val="Strong"/>
                <w:rFonts w:eastAsia="Times New Roman" w:cstheme="minorHAnsi"/>
                <w:b w:val="0"/>
                <w:bCs w:val="0"/>
                <w:color w:val="474747"/>
                <w:sz w:val="24"/>
                <w:szCs w:val="24"/>
              </w:rPr>
            </w:pPr>
            <w:r w:rsidRPr="00AE085D">
              <w:rPr>
                <w:rStyle w:val="Strong"/>
                <w:rFonts w:cstheme="minorHAnsi"/>
                <w:b w:val="0"/>
                <w:bCs w:val="0"/>
                <w:color w:val="474747"/>
                <w:sz w:val="24"/>
                <w:szCs w:val="24"/>
                <w:bdr w:val="none" w:sz="0" w:space="0" w:color="auto" w:frame="1"/>
                <w:shd w:val="clear" w:color="auto" w:fill="FFFFFF"/>
              </w:rPr>
              <w:t>Post Graduate Diploma</w:t>
            </w:r>
          </w:p>
          <w:p w:rsidR="00622964" w:rsidRPr="001200F7" w:rsidRDefault="00622964" w:rsidP="00622964">
            <w:pPr>
              <w:rPr>
                <w:rFonts w:cstheme="minorHAnsi"/>
                <w:sz w:val="24"/>
                <w:szCs w:val="24"/>
              </w:rPr>
            </w:pPr>
          </w:p>
        </w:tc>
      </w:tr>
      <w:tr w:rsidR="00622964" w:rsidRPr="001200F7" w:rsidTr="00622964">
        <w:trPr>
          <w:trHeight w:val="432"/>
        </w:trPr>
        <w:tc>
          <w:tcPr>
            <w:tcW w:w="878" w:type="dxa"/>
          </w:tcPr>
          <w:p w:rsidR="00622964" w:rsidRPr="001200F7" w:rsidRDefault="00622964" w:rsidP="00622964">
            <w:pPr>
              <w:ind w:left="96"/>
              <w:rPr>
                <w:rFonts w:cstheme="minorHAnsi"/>
                <w:sz w:val="24"/>
                <w:szCs w:val="24"/>
              </w:rPr>
            </w:pPr>
            <w:r w:rsidRPr="001200F7">
              <w:rPr>
                <w:rFonts w:cstheme="minorHAnsi"/>
                <w:sz w:val="24"/>
                <w:szCs w:val="24"/>
              </w:rPr>
              <w:t xml:space="preserve">(ii) </w:t>
            </w:r>
          </w:p>
        </w:tc>
        <w:tc>
          <w:tcPr>
            <w:tcW w:w="2628" w:type="dxa"/>
          </w:tcPr>
          <w:p w:rsidR="00622964" w:rsidRPr="001200F7" w:rsidRDefault="00622964" w:rsidP="00622964">
            <w:pPr>
              <w:ind w:left="96"/>
              <w:rPr>
                <w:rFonts w:cstheme="minorHAnsi"/>
                <w:sz w:val="24"/>
                <w:szCs w:val="24"/>
              </w:rPr>
            </w:pPr>
            <w:r w:rsidRPr="001200F7">
              <w:rPr>
                <w:rFonts w:cstheme="minorHAnsi"/>
                <w:sz w:val="24"/>
                <w:szCs w:val="24"/>
              </w:rPr>
              <w:t>Norms/ standards for functions/ service delivery</w:t>
            </w:r>
          </w:p>
        </w:tc>
        <w:tc>
          <w:tcPr>
            <w:tcW w:w="6521" w:type="dxa"/>
          </w:tcPr>
          <w:p w:rsidR="00622964" w:rsidRPr="001200F7" w:rsidRDefault="00622964" w:rsidP="00622964">
            <w:pPr>
              <w:jc w:val="both"/>
              <w:rPr>
                <w:rFonts w:cstheme="minorHAnsi"/>
                <w:b/>
                <w:bCs/>
                <w:sz w:val="24"/>
                <w:szCs w:val="24"/>
              </w:rPr>
            </w:pPr>
            <w:r w:rsidRPr="001200F7">
              <w:rPr>
                <w:rFonts w:cstheme="minorHAnsi"/>
                <w:b/>
                <w:bCs/>
                <w:sz w:val="24"/>
                <w:szCs w:val="24"/>
              </w:rPr>
              <w:t>AcSIR Act, 2011</w:t>
            </w:r>
          </w:p>
          <w:p w:rsidR="00622964" w:rsidRPr="001200F7" w:rsidRDefault="00622964" w:rsidP="00622964">
            <w:pPr>
              <w:jc w:val="both"/>
              <w:rPr>
                <w:rFonts w:cstheme="minorHAnsi"/>
                <w:b/>
                <w:bCs/>
                <w:sz w:val="24"/>
                <w:szCs w:val="24"/>
              </w:rPr>
            </w:pPr>
          </w:p>
          <w:p w:rsidR="001200F7" w:rsidRPr="001200F7" w:rsidRDefault="00622964" w:rsidP="001200F7">
            <w:pPr>
              <w:rPr>
                <w:rFonts w:cstheme="minorHAnsi"/>
                <w:sz w:val="24"/>
                <w:szCs w:val="24"/>
              </w:rPr>
            </w:pPr>
            <w:r w:rsidRPr="001200F7">
              <w:rPr>
                <w:rFonts w:cstheme="minorHAnsi"/>
                <w:sz w:val="24"/>
                <w:szCs w:val="24"/>
              </w:rPr>
              <w:t>As defined in Clause 30</w:t>
            </w:r>
            <w:r w:rsidR="001200F7" w:rsidRPr="001200F7">
              <w:rPr>
                <w:rFonts w:cstheme="minorHAnsi"/>
                <w:sz w:val="24"/>
                <w:szCs w:val="24"/>
              </w:rPr>
              <w:t xml:space="preserve"> (1) </w:t>
            </w:r>
            <w:r w:rsidRPr="001200F7">
              <w:rPr>
                <w:rFonts w:cstheme="minorHAnsi"/>
                <w:sz w:val="24"/>
                <w:szCs w:val="24"/>
              </w:rPr>
              <w:t xml:space="preserve">of AcSIR Act, 2011 </w:t>
            </w:r>
          </w:p>
          <w:p w:rsidR="001200F7" w:rsidRPr="001200F7" w:rsidRDefault="001200F7" w:rsidP="001200F7">
            <w:pPr>
              <w:rPr>
                <w:rFonts w:cstheme="minorHAnsi"/>
                <w:sz w:val="24"/>
                <w:szCs w:val="24"/>
              </w:rPr>
            </w:pPr>
          </w:p>
          <w:p w:rsidR="00622964" w:rsidRPr="001200F7" w:rsidRDefault="00622964" w:rsidP="001200F7">
            <w:pPr>
              <w:jc w:val="both"/>
              <w:rPr>
                <w:rFonts w:cstheme="minorHAnsi"/>
                <w:sz w:val="24"/>
                <w:szCs w:val="24"/>
              </w:rPr>
            </w:pPr>
            <w:r w:rsidRPr="001200F7">
              <w:rPr>
                <w:rFonts w:cstheme="minorHAnsi"/>
                <w:sz w:val="24"/>
                <w:szCs w:val="24"/>
              </w:rPr>
              <w:t>Subject to the provisions of this Act and the Statutes, the Ordinances of the Academy may provide for all or any of the following matters, namely:-</w:t>
            </w:r>
          </w:p>
          <w:p w:rsidR="001200F7" w:rsidRPr="001200F7" w:rsidRDefault="001200F7" w:rsidP="001200F7">
            <w:pPr>
              <w:jc w:val="both"/>
              <w:rPr>
                <w:rFonts w:cstheme="minorHAnsi"/>
                <w:sz w:val="24"/>
                <w:szCs w:val="24"/>
              </w:rPr>
            </w:pPr>
          </w:p>
          <w:p w:rsidR="00622964" w:rsidRPr="001200F7" w:rsidRDefault="00622964" w:rsidP="00622964">
            <w:pPr>
              <w:ind w:left="146"/>
              <w:jc w:val="both"/>
              <w:rPr>
                <w:rFonts w:cstheme="minorHAnsi"/>
                <w:sz w:val="24"/>
                <w:szCs w:val="24"/>
              </w:rPr>
            </w:pPr>
            <w:r w:rsidRPr="001200F7">
              <w:rPr>
                <w:rFonts w:cstheme="minorHAnsi"/>
                <w:sz w:val="24"/>
                <w:szCs w:val="24"/>
              </w:rPr>
              <w:t xml:space="preserve">(a) the admission of the students; </w:t>
            </w:r>
          </w:p>
          <w:p w:rsidR="00622964" w:rsidRPr="001200F7" w:rsidRDefault="00622964" w:rsidP="00622964">
            <w:pPr>
              <w:ind w:left="146"/>
              <w:jc w:val="both"/>
              <w:rPr>
                <w:rFonts w:cstheme="minorHAnsi"/>
                <w:sz w:val="24"/>
                <w:szCs w:val="24"/>
              </w:rPr>
            </w:pPr>
            <w:r w:rsidRPr="001200F7">
              <w:rPr>
                <w:rFonts w:cstheme="minorHAnsi"/>
                <w:sz w:val="24"/>
                <w:szCs w:val="24"/>
              </w:rPr>
              <w:t xml:space="preserve">(b) the courses of study; </w:t>
            </w:r>
          </w:p>
          <w:p w:rsidR="00622964" w:rsidRPr="001200F7" w:rsidRDefault="00622964" w:rsidP="00622964">
            <w:pPr>
              <w:ind w:left="146"/>
              <w:jc w:val="both"/>
              <w:rPr>
                <w:rFonts w:cstheme="minorHAnsi"/>
                <w:sz w:val="24"/>
                <w:szCs w:val="24"/>
              </w:rPr>
            </w:pPr>
            <w:r w:rsidRPr="001200F7">
              <w:rPr>
                <w:rFonts w:cstheme="minorHAnsi"/>
                <w:sz w:val="24"/>
                <w:szCs w:val="24"/>
              </w:rPr>
              <w:t xml:space="preserve">(c) the conditions under which students shall be admitted and shall be eligible for degrees, diplomas and certificates and to the examinations of the Academy, and shall be eligible for the degrees, diplomas and certificates; </w:t>
            </w:r>
          </w:p>
          <w:p w:rsidR="00622964" w:rsidRPr="001200F7" w:rsidRDefault="00622964" w:rsidP="00622964">
            <w:pPr>
              <w:ind w:left="146"/>
              <w:jc w:val="both"/>
              <w:rPr>
                <w:rFonts w:cstheme="minorHAnsi"/>
                <w:sz w:val="24"/>
                <w:szCs w:val="24"/>
              </w:rPr>
            </w:pPr>
            <w:r w:rsidRPr="001200F7">
              <w:rPr>
                <w:rFonts w:cstheme="minorHAnsi"/>
                <w:sz w:val="24"/>
                <w:szCs w:val="24"/>
              </w:rPr>
              <w:t xml:space="preserve">(d) the conditions of award of the fellowships, scholarships, medals and prizes; </w:t>
            </w:r>
          </w:p>
          <w:p w:rsidR="00622964" w:rsidRPr="001200F7" w:rsidRDefault="00622964" w:rsidP="00622964">
            <w:pPr>
              <w:ind w:left="146"/>
              <w:jc w:val="both"/>
              <w:rPr>
                <w:rFonts w:cstheme="minorHAnsi"/>
                <w:sz w:val="24"/>
                <w:szCs w:val="24"/>
              </w:rPr>
            </w:pPr>
            <w:r w:rsidRPr="001200F7">
              <w:rPr>
                <w:rFonts w:cstheme="minorHAnsi"/>
                <w:sz w:val="24"/>
                <w:szCs w:val="24"/>
              </w:rPr>
              <w:t xml:space="preserve">(e) </w:t>
            </w:r>
            <w:proofErr w:type="gramStart"/>
            <w:r w:rsidRPr="001200F7">
              <w:rPr>
                <w:rFonts w:cstheme="minorHAnsi"/>
                <w:sz w:val="24"/>
                <w:szCs w:val="24"/>
              </w:rPr>
              <w:t>the</w:t>
            </w:r>
            <w:proofErr w:type="gramEnd"/>
            <w:r w:rsidRPr="001200F7">
              <w:rPr>
                <w:rFonts w:cstheme="minorHAnsi"/>
                <w:sz w:val="24"/>
                <w:szCs w:val="24"/>
              </w:rPr>
              <w:t xml:space="preserve"> condition and mode of appointment· and duties of examining bodies, examiners and moderators;  . </w:t>
            </w:r>
          </w:p>
          <w:p w:rsidR="00622964" w:rsidRPr="001200F7" w:rsidRDefault="00622964" w:rsidP="00622964">
            <w:pPr>
              <w:ind w:left="146"/>
              <w:jc w:val="both"/>
              <w:rPr>
                <w:rFonts w:cstheme="minorHAnsi"/>
                <w:sz w:val="24"/>
                <w:szCs w:val="24"/>
              </w:rPr>
            </w:pPr>
            <w:r w:rsidRPr="001200F7">
              <w:rPr>
                <w:rFonts w:cstheme="minorHAnsi"/>
                <w:sz w:val="24"/>
                <w:szCs w:val="24"/>
              </w:rPr>
              <w:t xml:space="preserve">(j) the conduct of examinations; </w:t>
            </w:r>
          </w:p>
          <w:p w:rsidR="00622964" w:rsidRPr="001200F7" w:rsidRDefault="00622964" w:rsidP="00622964">
            <w:pPr>
              <w:ind w:left="146"/>
              <w:jc w:val="both"/>
              <w:rPr>
                <w:rFonts w:cstheme="minorHAnsi"/>
                <w:sz w:val="24"/>
                <w:szCs w:val="24"/>
              </w:rPr>
            </w:pPr>
            <w:r w:rsidRPr="001200F7">
              <w:rPr>
                <w:rFonts w:cstheme="minorHAnsi"/>
                <w:sz w:val="24"/>
                <w:szCs w:val="24"/>
              </w:rPr>
              <w:t xml:space="preserve">(g) the maintenance of discipline among students of the Academy; </w:t>
            </w:r>
          </w:p>
          <w:p w:rsidR="00622964" w:rsidRPr="001200F7" w:rsidRDefault="00622964" w:rsidP="00622964">
            <w:pPr>
              <w:ind w:left="146"/>
              <w:jc w:val="both"/>
              <w:rPr>
                <w:rFonts w:cstheme="minorHAnsi"/>
                <w:sz w:val="24"/>
                <w:szCs w:val="24"/>
              </w:rPr>
            </w:pPr>
            <w:r w:rsidRPr="001200F7">
              <w:rPr>
                <w:rFonts w:cstheme="minorHAnsi"/>
                <w:sz w:val="24"/>
                <w:szCs w:val="24"/>
              </w:rPr>
              <w:t xml:space="preserve">(h) </w:t>
            </w:r>
            <w:proofErr w:type="gramStart"/>
            <w:r w:rsidRPr="001200F7">
              <w:rPr>
                <w:rFonts w:cstheme="minorHAnsi"/>
                <w:sz w:val="24"/>
                <w:szCs w:val="24"/>
              </w:rPr>
              <w:t>any</w:t>
            </w:r>
            <w:proofErr w:type="gramEnd"/>
            <w:r w:rsidRPr="001200F7">
              <w:rPr>
                <w:rFonts w:cstheme="minorHAnsi"/>
                <w:sz w:val="24"/>
                <w:szCs w:val="24"/>
              </w:rPr>
              <w:t xml:space="preserve"> other matter which by this Act or the Statute, is to be, or, may be, provided for by the Ordinances. </w:t>
            </w:r>
          </w:p>
          <w:p w:rsidR="00622964" w:rsidRPr="001200F7" w:rsidRDefault="00622964" w:rsidP="001200F7">
            <w:pPr>
              <w:rPr>
                <w:rFonts w:cstheme="minorHAnsi"/>
                <w:b/>
                <w:bCs/>
                <w:sz w:val="24"/>
                <w:szCs w:val="24"/>
              </w:rPr>
            </w:pPr>
          </w:p>
        </w:tc>
      </w:tr>
      <w:tr w:rsidR="00622964" w:rsidRPr="001200F7" w:rsidTr="00622964">
        <w:trPr>
          <w:trHeight w:val="422"/>
        </w:trPr>
        <w:tc>
          <w:tcPr>
            <w:tcW w:w="878" w:type="dxa"/>
          </w:tcPr>
          <w:p w:rsidR="00622964" w:rsidRPr="001200F7" w:rsidRDefault="00622964" w:rsidP="00622964">
            <w:pPr>
              <w:ind w:left="96"/>
              <w:rPr>
                <w:rFonts w:cstheme="minorHAnsi"/>
                <w:sz w:val="24"/>
                <w:szCs w:val="24"/>
              </w:rPr>
            </w:pPr>
            <w:r w:rsidRPr="001200F7">
              <w:rPr>
                <w:rFonts w:cstheme="minorHAnsi"/>
                <w:sz w:val="24"/>
                <w:szCs w:val="24"/>
              </w:rPr>
              <w:t xml:space="preserve">(iii) </w:t>
            </w:r>
          </w:p>
        </w:tc>
        <w:tc>
          <w:tcPr>
            <w:tcW w:w="2628" w:type="dxa"/>
          </w:tcPr>
          <w:p w:rsidR="00622964" w:rsidRPr="001200F7" w:rsidRDefault="00622964" w:rsidP="00622964">
            <w:pPr>
              <w:ind w:left="96"/>
              <w:rPr>
                <w:rFonts w:cstheme="minorHAnsi"/>
                <w:sz w:val="24"/>
                <w:szCs w:val="24"/>
              </w:rPr>
            </w:pPr>
            <w:r w:rsidRPr="001200F7">
              <w:rPr>
                <w:rFonts w:cstheme="minorHAnsi"/>
                <w:sz w:val="24"/>
                <w:szCs w:val="24"/>
              </w:rPr>
              <w:t>Process by which these services can be accessed</w:t>
            </w:r>
          </w:p>
        </w:tc>
        <w:tc>
          <w:tcPr>
            <w:tcW w:w="6521" w:type="dxa"/>
          </w:tcPr>
          <w:p w:rsidR="00622964" w:rsidRDefault="00622964" w:rsidP="00622964">
            <w:pPr>
              <w:rPr>
                <w:rFonts w:cstheme="minorHAnsi"/>
                <w:sz w:val="24"/>
                <w:szCs w:val="24"/>
              </w:rPr>
            </w:pPr>
            <w:r w:rsidRPr="001200F7">
              <w:rPr>
                <w:rFonts w:cstheme="minorHAnsi"/>
                <w:sz w:val="24"/>
                <w:szCs w:val="24"/>
              </w:rPr>
              <w:t xml:space="preserve">All academic services are provided by the different AcSIR Centres at the CSIR Laboratories and other Associate Centres of AcSIR under the supervision of the AcSIR Coordinators nominated at the AcSIR Centres. </w:t>
            </w:r>
          </w:p>
          <w:p w:rsidR="001200F7" w:rsidRPr="001200F7" w:rsidRDefault="001200F7" w:rsidP="00622964">
            <w:pPr>
              <w:rPr>
                <w:rFonts w:cstheme="minorHAnsi"/>
                <w:sz w:val="24"/>
                <w:szCs w:val="24"/>
              </w:rPr>
            </w:pPr>
          </w:p>
          <w:p w:rsidR="001200F7" w:rsidRDefault="00622964" w:rsidP="00622964">
            <w:pPr>
              <w:rPr>
                <w:rFonts w:cstheme="minorHAnsi"/>
                <w:sz w:val="24"/>
                <w:szCs w:val="24"/>
              </w:rPr>
            </w:pPr>
            <w:r w:rsidRPr="001200F7">
              <w:rPr>
                <w:rFonts w:cstheme="minorHAnsi"/>
                <w:sz w:val="24"/>
                <w:szCs w:val="24"/>
              </w:rPr>
              <w:t>Such services are provided under the general supervision of the AcSIR Headquarters at Ghaziabad</w:t>
            </w:r>
            <w:r w:rsidR="001200F7">
              <w:rPr>
                <w:rFonts w:cstheme="minorHAnsi"/>
                <w:sz w:val="24"/>
                <w:szCs w:val="24"/>
              </w:rPr>
              <w:t>.</w:t>
            </w:r>
          </w:p>
          <w:p w:rsidR="00622964" w:rsidRPr="001200F7" w:rsidRDefault="00622964" w:rsidP="00622964">
            <w:pPr>
              <w:rPr>
                <w:rFonts w:cstheme="minorHAnsi"/>
                <w:sz w:val="24"/>
                <w:szCs w:val="24"/>
              </w:rPr>
            </w:pPr>
            <w:r w:rsidRPr="001200F7">
              <w:rPr>
                <w:rFonts w:cstheme="minorHAnsi"/>
                <w:color w:val="474747"/>
                <w:sz w:val="24"/>
                <w:szCs w:val="24"/>
                <w:shd w:val="clear" w:color="auto" w:fill="FFFFFF"/>
              </w:rPr>
              <w:t xml:space="preserve"> </w:t>
            </w:r>
          </w:p>
        </w:tc>
      </w:tr>
      <w:tr w:rsidR="00622964" w:rsidRPr="001200F7" w:rsidTr="00622964">
        <w:trPr>
          <w:trHeight w:val="572"/>
        </w:trPr>
        <w:tc>
          <w:tcPr>
            <w:tcW w:w="878" w:type="dxa"/>
          </w:tcPr>
          <w:p w:rsidR="00622964" w:rsidRPr="001200F7" w:rsidRDefault="00622964" w:rsidP="00622964">
            <w:pPr>
              <w:ind w:left="96"/>
              <w:rPr>
                <w:rFonts w:cstheme="minorHAnsi"/>
                <w:sz w:val="24"/>
                <w:szCs w:val="24"/>
              </w:rPr>
            </w:pPr>
            <w:r w:rsidRPr="001200F7">
              <w:rPr>
                <w:rFonts w:cstheme="minorHAnsi"/>
                <w:sz w:val="24"/>
                <w:szCs w:val="24"/>
              </w:rPr>
              <w:lastRenderedPageBreak/>
              <w:t xml:space="preserve">(iv) </w:t>
            </w:r>
          </w:p>
        </w:tc>
        <w:tc>
          <w:tcPr>
            <w:tcW w:w="2628" w:type="dxa"/>
          </w:tcPr>
          <w:p w:rsidR="00622964" w:rsidRPr="001200F7" w:rsidRDefault="00622964" w:rsidP="00622964">
            <w:pPr>
              <w:ind w:left="96"/>
              <w:rPr>
                <w:rFonts w:cstheme="minorHAnsi"/>
                <w:sz w:val="24"/>
                <w:szCs w:val="24"/>
              </w:rPr>
            </w:pPr>
            <w:r w:rsidRPr="001200F7">
              <w:rPr>
                <w:rFonts w:cstheme="minorHAnsi"/>
                <w:sz w:val="24"/>
                <w:szCs w:val="24"/>
              </w:rPr>
              <w:t>Time-limit for achieving the targets</w:t>
            </w:r>
          </w:p>
        </w:tc>
        <w:tc>
          <w:tcPr>
            <w:tcW w:w="6521" w:type="dxa"/>
          </w:tcPr>
          <w:p w:rsidR="00622964" w:rsidRDefault="00622964" w:rsidP="00622964">
            <w:pPr>
              <w:rPr>
                <w:rFonts w:cstheme="minorHAnsi"/>
                <w:sz w:val="24"/>
                <w:szCs w:val="24"/>
              </w:rPr>
            </w:pPr>
            <w:r w:rsidRPr="001200F7">
              <w:rPr>
                <w:rFonts w:cstheme="minorHAnsi"/>
                <w:sz w:val="24"/>
                <w:szCs w:val="24"/>
              </w:rPr>
              <w:t>As per the guidelines issued by UGC from time to time that AcSIR Senate has adopted from time to time</w:t>
            </w:r>
            <w:r w:rsidR="001461F2">
              <w:rPr>
                <w:rFonts w:cstheme="minorHAnsi"/>
                <w:sz w:val="24"/>
                <w:szCs w:val="24"/>
              </w:rPr>
              <w:t>.</w:t>
            </w:r>
          </w:p>
          <w:p w:rsidR="001461F2" w:rsidRPr="001200F7" w:rsidRDefault="001461F2" w:rsidP="00622964">
            <w:pPr>
              <w:rPr>
                <w:rFonts w:cstheme="minorHAnsi"/>
                <w:sz w:val="24"/>
                <w:szCs w:val="24"/>
              </w:rPr>
            </w:pPr>
          </w:p>
        </w:tc>
      </w:tr>
      <w:tr w:rsidR="00622964" w:rsidRPr="001200F7" w:rsidTr="00622964">
        <w:trPr>
          <w:trHeight w:val="572"/>
        </w:trPr>
        <w:tc>
          <w:tcPr>
            <w:tcW w:w="878" w:type="dxa"/>
          </w:tcPr>
          <w:p w:rsidR="00622964" w:rsidRPr="001200F7" w:rsidRDefault="00622964" w:rsidP="00622964">
            <w:pPr>
              <w:spacing w:line="276" w:lineRule="auto"/>
              <w:ind w:left="80"/>
              <w:rPr>
                <w:rFonts w:cstheme="minorHAnsi"/>
                <w:sz w:val="24"/>
                <w:szCs w:val="24"/>
              </w:rPr>
            </w:pPr>
            <w:r w:rsidRPr="001200F7">
              <w:rPr>
                <w:rFonts w:eastAsia="Calibri" w:cstheme="minorHAnsi"/>
                <w:sz w:val="24"/>
                <w:szCs w:val="24"/>
              </w:rPr>
              <w:t xml:space="preserve">(v) </w:t>
            </w:r>
          </w:p>
        </w:tc>
        <w:tc>
          <w:tcPr>
            <w:tcW w:w="2628" w:type="dxa"/>
          </w:tcPr>
          <w:p w:rsidR="00622964" w:rsidRPr="001200F7" w:rsidRDefault="00622964" w:rsidP="00622964">
            <w:pPr>
              <w:spacing w:line="276" w:lineRule="auto"/>
              <w:ind w:left="80"/>
              <w:rPr>
                <w:rFonts w:cstheme="minorHAnsi"/>
                <w:sz w:val="24"/>
                <w:szCs w:val="24"/>
              </w:rPr>
            </w:pPr>
            <w:r w:rsidRPr="001200F7">
              <w:rPr>
                <w:rFonts w:eastAsia="Calibri" w:cstheme="minorHAnsi"/>
                <w:sz w:val="24"/>
                <w:szCs w:val="24"/>
              </w:rPr>
              <w:t>Process of redress of grievances</w:t>
            </w:r>
          </w:p>
        </w:tc>
        <w:tc>
          <w:tcPr>
            <w:tcW w:w="6521" w:type="dxa"/>
          </w:tcPr>
          <w:p w:rsidR="00622964" w:rsidRPr="001200F7" w:rsidRDefault="00622964" w:rsidP="00622964">
            <w:pPr>
              <w:spacing w:line="276" w:lineRule="auto"/>
              <w:ind w:right="14"/>
              <w:jc w:val="both"/>
              <w:rPr>
                <w:rFonts w:eastAsia="Calibri" w:cstheme="minorHAnsi"/>
                <w:b/>
                <w:bCs/>
                <w:sz w:val="24"/>
                <w:szCs w:val="24"/>
              </w:rPr>
            </w:pPr>
            <w:r w:rsidRPr="001200F7">
              <w:rPr>
                <w:rFonts w:eastAsia="Calibri" w:cstheme="minorHAnsi"/>
                <w:b/>
                <w:bCs/>
                <w:sz w:val="24"/>
                <w:szCs w:val="24"/>
              </w:rPr>
              <w:t>Academic Grievances:</w:t>
            </w:r>
          </w:p>
          <w:p w:rsidR="00622964" w:rsidRPr="001200F7" w:rsidRDefault="00622964" w:rsidP="00622964">
            <w:pPr>
              <w:pStyle w:val="ListParagraph"/>
              <w:numPr>
                <w:ilvl w:val="0"/>
                <w:numId w:val="5"/>
              </w:numPr>
              <w:spacing w:line="276" w:lineRule="auto"/>
              <w:ind w:left="458" w:right="14" w:hanging="458"/>
              <w:jc w:val="both"/>
              <w:rPr>
                <w:rFonts w:eastAsia="Calibri" w:cstheme="minorHAnsi"/>
                <w:sz w:val="24"/>
                <w:szCs w:val="24"/>
              </w:rPr>
            </w:pPr>
            <w:r w:rsidRPr="001200F7">
              <w:rPr>
                <w:rFonts w:eastAsia="Calibri" w:cstheme="minorHAnsi"/>
                <w:sz w:val="24"/>
                <w:szCs w:val="24"/>
              </w:rPr>
              <w:t>Academic grievances of the students are primarily dealt with by the AcSIR Academic Committee formed at each of its Centres;</w:t>
            </w:r>
          </w:p>
          <w:p w:rsidR="00622964" w:rsidRPr="001200F7" w:rsidRDefault="00622964" w:rsidP="00622964">
            <w:pPr>
              <w:pStyle w:val="ListParagraph"/>
              <w:numPr>
                <w:ilvl w:val="0"/>
                <w:numId w:val="5"/>
              </w:numPr>
              <w:spacing w:line="276" w:lineRule="auto"/>
              <w:ind w:left="458" w:right="14" w:hanging="458"/>
              <w:jc w:val="both"/>
              <w:rPr>
                <w:rFonts w:eastAsia="Calibri" w:cstheme="minorHAnsi"/>
                <w:sz w:val="24"/>
                <w:szCs w:val="24"/>
              </w:rPr>
            </w:pPr>
            <w:r w:rsidRPr="001200F7">
              <w:rPr>
                <w:rFonts w:eastAsia="Calibri" w:cstheme="minorHAnsi"/>
                <w:sz w:val="24"/>
                <w:szCs w:val="24"/>
              </w:rPr>
              <w:t>If resolution is not possible by the Academic Committee, the matter is referred to the Associate Director (Student Affairs);</w:t>
            </w:r>
          </w:p>
          <w:p w:rsidR="00622964" w:rsidRPr="001200F7" w:rsidRDefault="00622964" w:rsidP="00622964">
            <w:pPr>
              <w:pStyle w:val="ListParagraph"/>
              <w:numPr>
                <w:ilvl w:val="0"/>
                <w:numId w:val="5"/>
              </w:numPr>
              <w:spacing w:line="276" w:lineRule="auto"/>
              <w:ind w:left="458" w:right="14" w:hanging="458"/>
              <w:jc w:val="both"/>
              <w:rPr>
                <w:rFonts w:eastAsia="Calibri" w:cstheme="minorHAnsi"/>
                <w:sz w:val="24"/>
                <w:szCs w:val="24"/>
              </w:rPr>
            </w:pPr>
            <w:r w:rsidRPr="001200F7">
              <w:rPr>
                <w:rFonts w:eastAsia="Calibri" w:cstheme="minorHAnsi"/>
                <w:sz w:val="24"/>
                <w:szCs w:val="24"/>
              </w:rPr>
              <w:t>Subsequently, the matter may be referred to the Director, AcSIR for resolution.</w:t>
            </w:r>
          </w:p>
          <w:p w:rsidR="00622964" w:rsidRPr="001200F7" w:rsidRDefault="00622964" w:rsidP="00622964">
            <w:pPr>
              <w:pStyle w:val="ListParagraph"/>
              <w:spacing w:line="276" w:lineRule="auto"/>
              <w:ind w:left="458" w:right="14"/>
              <w:jc w:val="both"/>
              <w:rPr>
                <w:rFonts w:eastAsia="Calibri" w:cstheme="minorHAnsi"/>
                <w:sz w:val="24"/>
                <w:szCs w:val="24"/>
              </w:rPr>
            </w:pPr>
          </w:p>
          <w:p w:rsidR="00622964" w:rsidRPr="001200F7" w:rsidRDefault="00622964" w:rsidP="00622964">
            <w:pPr>
              <w:spacing w:line="276" w:lineRule="auto"/>
              <w:ind w:right="14"/>
              <w:jc w:val="both"/>
              <w:rPr>
                <w:rFonts w:eastAsia="Calibri" w:cstheme="minorHAnsi"/>
                <w:sz w:val="24"/>
                <w:szCs w:val="24"/>
              </w:rPr>
            </w:pPr>
            <w:r w:rsidRPr="001200F7">
              <w:rPr>
                <w:rFonts w:eastAsia="Calibri" w:cstheme="minorHAnsi"/>
                <w:b/>
                <w:bCs/>
                <w:sz w:val="24"/>
                <w:szCs w:val="24"/>
              </w:rPr>
              <w:t>Dispute between AcSIR and an employee of AcSIR</w:t>
            </w:r>
            <w:r w:rsidRPr="001200F7">
              <w:rPr>
                <w:rFonts w:eastAsia="Calibri" w:cstheme="minorHAnsi"/>
                <w:sz w:val="24"/>
                <w:szCs w:val="24"/>
              </w:rPr>
              <w:t>:</w:t>
            </w:r>
          </w:p>
          <w:p w:rsidR="00622964" w:rsidRDefault="00622964" w:rsidP="00622964">
            <w:pPr>
              <w:pStyle w:val="ListParagraph"/>
              <w:numPr>
                <w:ilvl w:val="0"/>
                <w:numId w:val="6"/>
              </w:numPr>
              <w:spacing w:line="276" w:lineRule="auto"/>
              <w:ind w:left="458" w:right="14" w:hanging="458"/>
              <w:jc w:val="both"/>
              <w:rPr>
                <w:rFonts w:eastAsia="Calibri" w:cstheme="minorHAnsi"/>
                <w:sz w:val="24"/>
                <w:szCs w:val="24"/>
              </w:rPr>
            </w:pPr>
            <w:r w:rsidRPr="001200F7">
              <w:rPr>
                <w:rFonts w:eastAsia="Calibri" w:cstheme="minorHAnsi"/>
                <w:sz w:val="24"/>
                <w:szCs w:val="24"/>
              </w:rPr>
              <w:t>Provision for Arbitration at AcSIR Act, 2011 (</w:t>
            </w:r>
            <w:r w:rsidRPr="001200F7">
              <w:rPr>
                <w:rFonts w:eastAsia="Calibri" w:cstheme="minorHAnsi"/>
                <w:b/>
                <w:bCs/>
                <w:sz w:val="24"/>
                <w:szCs w:val="24"/>
              </w:rPr>
              <w:t>Clause 34</w:t>
            </w:r>
            <w:r w:rsidRPr="001200F7">
              <w:rPr>
                <w:rFonts w:eastAsia="Calibri" w:cstheme="minorHAnsi"/>
                <w:sz w:val="24"/>
                <w:szCs w:val="24"/>
              </w:rPr>
              <w:t>) for redressal of disputes between an employee and AcSIR.</w:t>
            </w:r>
          </w:p>
          <w:p w:rsidR="001461F2" w:rsidRPr="001200F7" w:rsidRDefault="001461F2" w:rsidP="001461F2">
            <w:pPr>
              <w:pStyle w:val="ListParagraph"/>
              <w:spacing w:line="276" w:lineRule="auto"/>
              <w:ind w:left="458" w:right="14"/>
              <w:jc w:val="both"/>
              <w:rPr>
                <w:rFonts w:eastAsia="Calibri" w:cstheme="minorHAnsi"/>
                <w:sz w:val="24"/>
                <w:szCs w:val="24"/>
              </w:rPr>
            </w:pPr>
          </w:p>
          <w:p w:rsidR="00622964" w:rsidRPr="001200F7" w:rsidRDefault="00622964" w:rsidP="00622964">
            <w:pPr>
              <w:spacing w:line="276" w:lineRule="auto"/>
              <w:ind w:right="14"/>
              <w:jc w:val="both"/>
              <w:rPr>
                <w:rFonts w:eastAsia="Calibri" w:cstheme="minorHAnsi"/>
                <w:b/>
                <w:bCs/>
                <w:sz w:val="24"/>
                <w:szCs w:val="24"/>
              </w:rPr>
            </w:pPr>
            <w:r w:rsidRPr="001200F7">
              <w:rPr>
                <w:rFonts w:eastAsia="Calibri" w:cstheme="minorHAnsi"/>
                <w:b/>
                <w:bCs/>
                <w:sz w:val="24"/>
                <w:szCs w:val="24"/>
              </w:rPr>
              <w:t>Grievance related to Sexual Harassment</w:t>
            </w:r>
          </w:p>
          <w:p w:rsidR="00622964" w:rsidRPr="001200F7" w:rsidRDefault="00622964" w:rsidP="00622964">
            <w:pPr>
              <w:pStyle w:val="ListParagraph"/>
              <w:numPr>
                <w:ilvl w:val="0"/>
                <w:numId w:val="7"/>
              </w:numPr>
              <w:spacing w:line="276" w:lineRule="auto"/>
              <w:ind w:left="458" w:right="14" w:hanging="426"/>
              <w:jc w:val="both"/>
              <w:rPr>
                <w:rFonts w:eastAsia="Calibri" w:cstheme="minorHAnsi"/>
                <w:sz w:val="24"/>
                <w:szCs w:val="24"/>
              </w:rPr>
            </w:pPr>
            <w:r w:rsidRPr="001200F7">
              <w:rPr>
                <w:rFonts w:eastAsia="Calibri" w:cstheme="minorHAnsi"/>
                <w:sz w:val="24"/>
                <w:szCs w:val="24"/>
              </w:rPr>
              <w:t>Through the Sexual Harassment Committee of concerned CSIR Labs where the AcSIR students are placed (workplace) for grievances of similar nature;</w:t>
            </w:r>
          </w:p>
          <w:p w:rsidR="00622964" w:rsidRPr="001200F7" w:rsidRDefault="00622964" w:rsidP="00622964">
            <w:pPr>
              <w:pStyle w:val="ListParagraph"/>
              <w:numPr>
                <w:ilvl w:val="0"/>
                <w:numId w:val="7"/>
              </w:numPr>
              <w:spacing w:line="276" w:lineRule="auto"/>
              <w:ind w:left="458" w:right="14" w:hanging="458"/>
              <w:jc w:val="both"/>
              <w:rPr>
                <w:rFonts w:eastAsia="Calibri" w:cstheme="minorHAnsi"/>
                <w:sz w:val="24"/>
                <w:szCs w:val="24"/>
              </w:rPr>
            </w:pPr>
            <w:r w:rsidRPr="001200F7">
              <w:rPr>
                <w:rFonts w:eastAsia="Calibri" w:cstheme="minorHAnsi"/>
                <w:sz w:val="24"/>
                <w:szCs w:val="24"/>
              </w:rPr>
              <w:t>Through the Sexual Harassment Committee of AcSIR for grievances of similar nature at AcSIR Headquarters;</w:t>
            </w:r>
          </w:p>
          <w:p w:rsidR="00622964" w:rsidRPr="001200F7" w:rsidRDefault="00622964" w:rsidP="00622964">
            <w:pPr>
              <w:pStyle w:val="ListParagraph"/>
              <w:numPr>
                <w:ilvl w:val="0"/>
                <w:numId w:val="7"/>
              </w:numPr>
              <w:spacing w:line="276" w:lineRule="auto"/>
              <w:ind w:left="458" w:right="14" w:hanging="458"/>
              <w:jc w:val="both"/>
              <w:rPr>
                <w:rFonts w:eastAsia="Calibri" w:cstheme="minorHAnsi"/>
                <w:sz w:val="24"/>
                <w:szCs w:val="24"/>
              </w:rPr>
            </w:pPr>
            <w:r w:rsidRPr="001200F7">
              <w:rPr>
                <w:rFonts w:eastAsia="Calibri" w:cstheme="minorHAnsi"/>
                <w:sz w:val="24"/>
                <w:szCs w:val="24"/>
              </w:rPr>
              <w:t>Through the Sexual Harassment Committee of concerned CSIR Labs where the AcSIR personnel are placed (workplace) for grievances of similar nature</w:t>
            </w:r>
          </w:p>
          <w:p w:rsidR="00622964" w:rsidRPr="001200F7" w:rsidRDefault="00622964" w:rsidP="00622964">
            <w:pPr>
              <w:spacing w:line="276" w:lineRule="auto"/>
              <w:ind w:left="32" w:right="14" w:hanging="32"/>
              <w:jc w:val="both"/>
              <w:rPr>
                <w:rFonts w:cstheme="minorHAnsi"/>
                <w:sz w:val="24"/>
                <w:szCs w:val="24"/>
              </w:rPr>
            </w:pPr>
          </w:p>
        </w:tc>
      </w:tr>
    </w:tbl>
    <w:p w:rsidR="00622964" w:rsidRDefault="00622964"/>
    <w:sectPr w:rsidR="00622964" w:rsidSect="006A3EC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F0B" w:rsidRDefault="00EA5F0B" w:rsidP="00F65DFC">
      <w:pPr>
        <w:spacing w:after="0" w:line="240" w:lineRule="auto"/>
      </w:pPr>
      <w:r>
        <w:separator/>
      </w:r>
    </w:p>
  </w:endnote>
  <w:endnote w:type="continuationSeparator" w:id="0">
    <w:p w:rsidR="00EA5F0B" w:rsidRDefault="00EA5F0B" w:rsidP="00F6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F0B" w:rsidRDefault="00EA5F0B" w:rsidP="00F65DFC">
      <w:pPr>
        <w:spacing w:after="0" w:line="240" w:lineRule="auto"/>
      </w:pPr>
      <w:r>
        <w:separator/>
      </w:r>
    </w:p>
  </w:footnote>
  <w:footnote w:type="continuationSeparator" w:id="0">
    <w:p w:rsidR="00EA5F0B" w:rsidRDefault="00EA5F0B" w:rsidP="00F65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64" w:rsidRDefault="00622964" w:rsidP="00F65DFC">
    <w:pPr>
      <w:pStyle w:val="Header"/>
      <w:jc w:val="right"/>
    </w:pPr>
    <w:r>
      <w:rPr>
        <w:noProof/>
        <w:lang w:val="en-US"/>
      </w:rPr>
      <w:drawing>
        <wp:inline distT="0" distB="0" distL="0" distR="0">
          <wp:extent cx="1266310" cy="48704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SIR_logo_FINAL-small.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6124" cy="4985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33"/>
    <w:multiLevelType w:val="hybridMultilevel"/>
    <w:tmpl w:val="05CE258A"/>
    <w:lvl w:ilvl="0" w:tplc="727455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CF0EED"/>
    <w:multiLevelType w:val="hybridMultilevel"/>
    <w:tmpl w:val="A94C3F80"/>
    <w:lvl w:ilvl="0" w:tplc="87F07EC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ED6657"/>
    <w:multiLevelType w:val="hybridMultilevel"/>
    <w:tmpl w:val="88742CFC"/>
    <w:lvl w:ilvl="0" w:tplc="05D070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A927BD"/>
    <w:multiLevelType w:val="hybridMultilevel"/>
    <w:tmpl w:val="4F5254AC"/>
    <w:lvl w:ilvl="0" w:tplc="D7A21A70">
      <w:start w:val="2"/>
      <w:numFmt w:val="decimal"/>
      <w:lvlText w:val="(%1)"/>
      <w:lvlJc w:val="left"/>
      <w:pPr>
        <w:ind w:left="4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4B4522"/>
    <w:multiLevelType w:val="hybridMultilevel"/>
    <w:tmpl w:val="DBB07338"/>
    <w:lvl w:ilvl="0" w:tplc="FC28155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C6726A"/>
    <w:multiLevelType w:val="hybridMultilevel"/>
    <w:tmpl w:val="6FD2593E"/>
    <w:lvl w:ilvl="0" w:tplc="49B872FA">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nsid w:val="640B502D"/>
    <w:multiLevelType w:val="hybridMultilevel"/>
    <w:tmpl w:val="20245D72"/>
    <w:lvl w:ilvl="0" w:tplc="6DB406E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7955EAB"/>
    <w:multiLevelType w:val="hybridMultilevel"/>
    <w:tmpl w:val="73D2C0B8"/>
    <w:lvl w:ilvl="0" w:tplc="DD8A825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nsid w:val="7F69315A"/>
    <w:multiLevelType w:val="multilevel"/>
    <w:tmpl w:val="0D549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5"/>
  </w:num>
  <w:num w:numId="5">
    <w:abstractNumId w:val="6"/>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64A23"/>
    <w:rsid w:val="001200F7"/>
    <w:rsid w:val="001461F2"/>
    <w:rsid w:val="00155FA3"/>
    <w:rsid w:val="00164A23"/>
    <w:rsid w:val="001E23F6"/>
    <w:rsid w:val="002D7611"/>
    <w:rsid w:val="00333355"/>
    <w:rsid w:val="00371691"/>
    <w:rsid w:val="00445838"/>
    <w:rsid w:val="00476913"/>
    <w:rsid w:val="00494052"/>
    <w:rsid w:val="00511899"/>
    <w:rsid w:val="00622964"/>
    <w:rsid w:val="006A3ECC"/>
    <w:rsid w:val="00716035"/>
    <w:rsid w:val="007758B2"/>
    <w:rsid w:val="00997F84"/>
    <w:rsid w:val="009A3D5A"/>
    <w:rsid w:val="009E0BB3"/>
    <w:rsid w:val="00A04754"/>
    <w:rsid w:val="00A04923"/>
    <w:rsid w:val="00A06371"/>
    <w:rsid w:val="00A72706"/>
    <w:rsid w:val="00A73AC0"/>
    <w:rsid w:val="00AE085D"/>
    <w:rsid w:val="00C04342"/>
    <w:rsid w:val="00C13215"/>
    <w:rsid w:val="00C35299"/>
    <w:rsid w:val="00C86F05"/>
    <w:rsid w:val="00CF16FB"/>
    <w:rsid w:val="00D24E97"/>
    <w:rsid w:val="00DE6771"/>
    <w:rsid w:val="00E9640D"/>
    <w:rsid w:val="00EA5F0B"/>
    <w:rsid w:val="00ED2C8B"/>
    <w:rsid w:val="00F65DFC"/>
    <w:rsid w:val="00F71256"/>
    <w:rsid w:val="00FA762A"/>
    <w:rsid w:val="00FB75CB"/>
    <w:rsid w:val="00FD1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754"/>
    <w:pPr>
      <w:ind w:left="720"/>
      <w:contextualSpacing/>
    </w:pPr>
  </w:style>
  <w:style w:type="character" w:styleId="Hyperlink">
    <w:name w:val="Hyperlink"/>
    <w:basedOn w:val="DefaultParagraphFont"/>
    <w:uiPriority w:val="99"/>
    <w:unhideWhenUsed/>
    <w:rsid w:val="00371691"/>
    <w:rPr>
      <w:color w:val="0563C1"/>
      <w:u w:val="single"/>
    </w:rPr>
  </w:style>
  <w:style w:type="character" w:customStyle="1" w:styleId="UnresolvedMention">
    <w:name w:val="Unresolved Mention"/>
    <w:basedOn w:val="DefaultParagraphFont"/>
    <w:uiPriority w:val="99"/>
    <w:semiHidden/>
    <w:unhideWhenUsed/>
    <w:rsid w:val="009E0BB3"/>
    <w:rPr>
      <w:color w:val="605E5C"/>
      <w:shd w:val="clear" w:color="auto" w:fill="E1DFDD"/>
    </w:rPr>
  </w:style>
  <w:style w:type="paragraph" w:styleId="BalloonText">
    <w:name w:val="Balloon Text"/>
    <w:basedOn w:val="Normal"/>
    <w:link w:val="BalloonTextChar"/>
    <w:uiPriority w:val="99"/>
    <w:semiHidden/>
    <w:unhideWhenUsed/>
    <w:rsid w:val="00F71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56"/>
    <w:rPr>
      <w:rFonts w:ascii="Segoe UI" w:hAnsi="Segoe UI" w:cs="Segoe UI"/>
      <w:sz w:val="18"/>
      <w:szCs w:val="18"/>
    </w:rPr>
  </w:style>
  <w:style w:type="table" w:customStyle="1" w:styleId="TableGrid0">
    <w:name w:val="TableGrid"/>
    <w:rsid w:val="00333355"/>
    <w:pPr>
      <w:spacing w:after="0" w:line="240" w:lineRule="auto"/>
    </w:pPr>
    <w:rPr>
      <w:rFonts w:eastAsiaTheme="minorEastAsia"/>
      <w:lang w:eastAsia="en-IN"/>
    </w:rPr>
    <w:tblPr>
      <w:tblCellMar>
        <w:top w:w="0" w:type="dxa"/>
        <w:left w:w="0" w:type="dxa"/>
        <w:bottom w:w="0" w:type="dxa"/>
        <w:right w:w="0" w:type="dxa"/>
      </w:tblCellMar>
    </w:tblPr>
  </w:style>
  <w:style w:type="paragraph" w:styleId="Header">
    <w:name w:val="header"/>
    <w:basedOn w:val="Normal"/>
    <w:link w:val="HeaderChar"/>
    <w:uiPriority w:val="99"/>
    <w:unhideWhenUsed/>
    <w:rsid w:val="00F6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DFC"/>
  </w:style>
  <w:style w:type="paragraph" w:styleId="Footer">
    <w:name w:val="footer"/>
    <w:basedOn w:val="Normal"/>
    <w:link w:val="FooterChar"/>
    <w:uiPriority w:val="99"/>
    <w:unhideWhenUsed/>
    <w:rsid w:val="00F6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DFC"/>
  </w:style>
  <w:style w:type="character" w:styleId="Strong">
    <w:name w:val="Strong"/>
    <w:basedOn w:val="DefaultParagraphFont"/>
    <w:uiPriority w:val="22"/>
    <w:qFormat/>
    <w:rsid w:val="00AE085D"/>
    <w:rPr>
      <w:b/>
      <w:bCs/>
    </w:rPr>
  </w:style>
</w:styles>
</file>

<file path=word/webSettings.xml><?xml version="1.0" encoding="utf-8"?>
<w:webSettings xmlns:r="http://schemas.openxmlformats.org/officeDocument/2006/relationships" xmlns:w="http://schemas.openxmlformats.org/wordprocessingml/2006/main">
  <w:divs>
    <w:div w:id="31813162">
      <w:bodyDiv w:val="1"/>
      <w:marLeft w:val="0"/>
      <w:marRight w:val="0"/>
      <w:marTop w:val="0"/>
      <w:marBottom w:val="0"/>
      <w:divBdr>
        <w:top w:val="none" w:sz="0" w:space="0" w:color="auto"/>
        <w:left w:val="none" w:sz="0" w:space="0" w:color="auto"/>
        <w:bottom w:val="none" w:sz="0" w:space="0" w:color="auto"/>
        <w:right w:val="none" w:sz="0" w:space="0" w:color="auto"/>
      </w:divBdr>
    </w:div>
    <w:div w:id="510225551">
      <w:bodyDiv w:val="1"/>
      <w:marLeft w:val="0"/>
      <w:marRight w:val="0"/>
      <w:marTop w:val="0"/>
      <w:marBottom w:val="0"/>
      <w:divBdr>
        <w:top w:val="none" w:sz="0" w:space="0" w:color="auto"/>
        <w:left w:val="none" w:sz="0" w:space="0" w:color="auto"/>
        <w:bottom w:val="none" w:sz="0" w:space="0" w:color="auto"/>
        <w:right w:val="none" w:sz="0" w:space="0" w:color="auto"/>
      </w:divBdr>
    </w:div>
    <w:div w:id="849636514">
      <w:bodyDiv w:val="1"/>
      <w:marLeft w:val="0"/>
      <w:marRight w:val="0"/>
      <w:marTop w:val="0"/>
      <w:marBottom w:val="0"/>
      <w:divBdr>
        <w:top w:val="none" w:sz="0" w:space="0" w:color="auto"/>
        <w:left w:val="none" w:sz="0" w:space="0" w:color="auto"/>
        <w:bottom w:val="none" w:sz="0" w:space="0" w:color="auto"/>
        <w:right w:val="none" w:sz="0" w:space="0" w:color="auto"/>
      </w:divBdr>
    </w:div>
    <w:div w:id="13351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Sengupta</dc:creator>
  <cp:keywords/>
  <dc:description/>
  <cp:lastModifiedBy>AcSIR</cp:lastModifiedBy>
  <cp:revision>5</cp:revision>
  <cp:lastPrinted>2019-12-05T07:03:00Z</cp:lastPrinted>
  <dcterms:created xsi:type="dcterms:W3CDTF">2019-12-05T07:43:00Z</dcterms:created>
  <dcterms:modified xsi:type="dcterms:W3CDTF">2021-07-13T10:12:00Z</dcterms:modified>
</cp:coreProperties>
</file>